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2B66"/>
        </w:rPr>
        <w:t>Template para Orcamento Editorial</w:t>
      </w:r>
    </w:p>
    <w:p>
      <w:pPr>
        <w:jc w:val="center"/>
      </w:pPr>
      <w:r>
        <w:rPr>
          <w:b/>
          <w:color w:val="002B66"/>
        </w:rPr>
        <w:t>Editora Gnosis Carajas</w:t>
      </w:r>
    </w:p>
    <w:p>
      <w:r>
        <w:t>Preencha os campos abaixo para solicitar analise e orcamento. Os dados podem ser ajustados posteriormente, se necessario.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Campo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Informacao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Titulo provisório da obra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Modalidade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Autoral, Coletanea, Anais de Evento ou Material Didatico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Autores ou organizadores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Area tematica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Quantidade aproximada de paginas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Ha imagens, graficos ou tabelas?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A obra ja possui ISBN?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Prazo desejado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  <w:t>Observacoes adicionais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0"/>
              </w:rPr>
            </w:r>
          </w:p>
        </w:tc>
      </w:tr>
    </w:tbl>
    <w:p>
      <w:r>
        <w:t>Contato: contato@editoragnosiscarajas.com.br | WhatsApp: (66) 99614-5912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